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3F02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VІ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Міжнародна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науково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-практична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конференція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Антикризовий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розвиток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соціальних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економічних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процесів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умовах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глобалізації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» і XI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Міжнародна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студентська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науково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-практична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конференція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Актуальні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проблеми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соціальних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економічних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процесів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умовах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трансформації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українського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суспільства</w:t>
      </w:r>
      <w:proofErr w:type="spellEnd"/>
      <w:r w:rsidRPr="001933A0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».</w:t>
      </w:r>
    </w:p>
    <w:p w14:paraId="568554DD" w14:textId="6342ADBC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20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квітня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2016 року 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території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Українського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гуманітарного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інституту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відбулись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відразу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дві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: VІ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Міжнародна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-практична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Антикризовий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розвиток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соціальних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економічних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процесів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умовах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глобалізації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 і XI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Міжнародна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студентська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-практична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Актуальні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проблеми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соціальних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економічних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процесів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умовах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трансформації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українського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суспільства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».</w:t>
      </w:r>
    </w:p>
    <w:p w14:paraId="54158EB5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Пленарне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засідання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розпочалось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актовій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залі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виступом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студентського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хору УГІ,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задав особливо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урочистий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тон заходу.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Із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привітальним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словом до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присутніх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звернувся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президент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Українського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адвентистського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центру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вищої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Костюк В.В.</w:t>
      </w:r>
    </w:p>
    <w:p w14:paraId="5A108939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доповідях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проголошених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пленарному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засіданні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піднімались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актуальні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питання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проблем як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українського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суспільства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так і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всього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світу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умовах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глобалізації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Особливостями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цьогорічного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пленарного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засідання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була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можливість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студентам, 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рівні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із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викладачами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висвітлити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результати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своїх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досліджень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Вся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спільнота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яка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зібралась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високо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відзначила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виступи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студентів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, таких як:</w:t>
      </w:r>
    </w:p>
    <w:p w14:paraId="476D36E2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Клімук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В.В., студент 4 курсу,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філологічного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факультету з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доповіддю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Психологічний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феномен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мекіавеллізму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особистості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контексті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морально-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етичних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цінностей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сучасного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суспільства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».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керівник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– старший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викладач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Мичак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Н. Г.;</w:t>
      </w:r>
    </w:p>
    <w:p w14:paraId="43DF5A83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Анохіна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Т. І., Янчук В.В.,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3 та 2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курсів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філологічного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факультету з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доповіддю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Стихійний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видобуток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бурштину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як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екологічна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проблема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».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керівник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– старший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викладач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Мичак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Н. Г.</w:t>
      </w:r>
    </w:p>
    <w:p w14:paraId="6AA02855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На пленарному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засіданні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також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виступила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Директор по маркетингу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страхової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компанії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«Граве-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Пахолюк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О.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із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доповіддю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Страховий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ринок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сегменті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лайфового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страхування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повній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мірі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висвітлила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стан та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перспективи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страхового ринку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1D382F6E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Неможливо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оминути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увагою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кандидата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філологічних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наук, доцента з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Київського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славістичного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інституту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Закупру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Ж.А., яка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виступила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 актуальною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доповіддю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«Эстетические особенности русского языка и их отражение в средствах массовой информации».</w:t>
      </w:r>
    </w:p>
    <w:p w14:paraId="0F804DAE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час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роботи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були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проведені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також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секційні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засідання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пройшли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високому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-теоретичному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рівні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формі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дискусій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великим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зацікавленням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студентської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молоді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4830C0F6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Робота по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секціям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проводилась за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наступними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напрямками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:</w:t>
      </w:r>
    </w:p>
    <w:p w14:paraId="1167726A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Місце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християнських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цінностей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постмодерністському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соціумі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489D0634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Християнські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філософські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аспекти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осмислення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минулого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сучасності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4B03CD7C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Суспільно-політичні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культурологічні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аспекти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трансформаційних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процесів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Україні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6BEEEAA8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lastRenderedPageBreak/>
        <w:t>Сучасні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проблеми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германської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філології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47AD1C5A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Актуальні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питання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теорії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та практики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фінансового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менеджменту (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Шоста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міжвузівська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науково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-практична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конференція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).</w:t>
      </w:r>
    </w:p>
    <w:p w14:paraId="57258322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Антикризовий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менеджмент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національного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світового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регіонального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рівнів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55249268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Цінності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сучасного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суспільства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масова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комунікація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77117E90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Інформаційні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системи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технології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моделювання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прогнозування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управлінських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процесів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753151E5" w14:textId="77777777" w:rsidR="001933A0" w:rsidRPr="001933A0" w:rsidRDefault="001933A0" w:rsidP="001933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Актуальні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проблеми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здорового способу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життя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сучасному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етапі</w:t>
      </w:r>
      <w:proofErr w:type="spellEnd"/>
      <w:r w:rsidRPr="001933A0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.</w:t>
      </w:r>
    </w:p>
    <w:p w14:paraId="001FBA80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В межах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також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відбувся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Круглий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стіл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Духовність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менеджмент: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ефективні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моделі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актуальні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методи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стратегій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розвитку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 модератором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виступив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завідувач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кафедри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менеджменту ЗЕД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професор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Зінченко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В.В.</w:t>
      </w:r>
    </w:p>
    <w:p w14:paraId="5C428129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даному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заході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підіймався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цикл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проблемних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питань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:</w:t>
      </w:r>
    </w:p>
    <w:p w14:paraId="7E61F8BB" w14:textId="77777777" w:rsidR="001933A0" w:rsidRPr="001933A0" w:rsidRDefault="001933A0" w:rsidP="001933A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Чи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є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духовності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досягненні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якості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майбутнього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фаху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?</w:t>
      </w:r>
    </w:p>
    <w:p w14:paraId="0F90094F" w14:textId="77777777" w:rsidR="001933A0" w:rsidRPr="001933A0" w:rsidRDefault="001933A0" w:rsidP="001933A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Чи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сприяє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духовний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розвиток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ефективності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менеджменту і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чи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повинна бути 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нього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межа?</w:t>
      </w:r>
    </w:p>
    <w:p w14:paraId="23C1DA6B" w14:textId="77777777" w:rsidR="001933A0" w:rsidRPr="001933A0" w:rsidRDefault="001933A0" w:rsidP="001933A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Яку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користь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(кому і в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яких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сферах)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можуть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принести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менеджери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?</w:t>
      </w:r>
    </w:p>
    <w:p w14:paraId="5EE4EF9E" w14:textId="77777777" w:rsidR="001933A0" w:rsidRPr="001933A0" w:rsidRDefault="001933A0" w:rsidP="001933A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Яким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має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бути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співвідношення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між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рівнями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управління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самоуправління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?</w:t>
      </w:r>
    </w:p>
    <w:p w14:paraId="0FC97BCF" w14:textId="77777777" w:rsidR="001933A0" w:rsidRPr="001933A0" w:rsidRDefault="001933A0" w:rsidP="001933A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Якщо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духовні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погляди та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інтереси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людини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відмінні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державної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ідеології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економічної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соціальної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політики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–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може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запропонувати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ефективний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менеджер будь-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якого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рівня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?</w:t>
      </w:r>
    </w:p>
    <w:p w14:paraId="3F9F6DE5" w14:textId="77777777" w:rsidR="001933A0" w:rsidRPr="001933A0" w:rsidRDefault="001933A0" w:rsidP="001933A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Загалом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захід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відбувся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високому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організаційному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науковому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рівні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За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матеріалами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були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видані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збірки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які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включають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понад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140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авторів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тез з </w:t>
      </w:r>
      <w:proofErr w:type="spellStart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найрізноманітнішими</w:t>
      </w:r>
      <w:proofErr w:type="spellEnd"/>
      <w:r w:rsidRPr="001933A0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темами.</w:t>
      </w:r>
    </w:p>
    <w:p w14:paraId="55E077FB" w14:textId="77777777" w:rsidR="00EB2E2D" w:rsidRPr="001933A0" w:rsidRDefault="00EB2E2D">
      <w:pPr>
        <w:rPr>
          <w:lang w:val="ru-UA"/>
        </w:rPr>
      </w:pPr>
    </w:p>
    <w:sectPr w:rsidR="00EB2E2D" w:rsidRPr="0019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A4AD8"/>
    <w:multiLevelType w:val="multilevel"/>
    <w:tmpl w:val="15B0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D6E3B"/>
    <w:multiLevelType w:val="multilevel"/>
    <w:tmpl w:val="2BD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43"/>
    <w:rsid w:val="001933A0"/>
    <w:rsid w:val="00676C43"/>
    <w:rsid w:val="006973A7"/>
    <w:rsid w:val="00C946E7"/>
    <w:rsid w:val="00E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E153"/>
  <w15:chartTrackingRefBased/>
  <w15:docId w15:val="{2C86F85D-A2A3-48B8-9DD1-2AE4B1B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73A7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697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Kuryliak</dc:creator>
  <cp:keywords/>
  <dc:description/>
  <cp:lastModifiedBy>Valentyna Kuryliak</cp:lastModifiedBy>
  <cp:revision>2</cp:revision>
  <dcterms:created xsi:type="dcterms:W3CDTF">2020-07-13T09:27:00Z</dcterms:created>
  <dcterms:modified xsi:type="dcterms:W3CDTF">2020-07-13T09:28:00Z</dcterms:modified>
</cp:coreProperties>
</file>